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owner of certain intangible assets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rtl w:val="0"/>
        </w:rPr>
      </w:r>
    </w:p>
    <w:p w:rsidR="00000000" w:rsidDel="00000000" w:rsidP="00000000" w:rsidRDefault="00000000" w:rsidRPr="00000000" w14:paraId="00000044">
      <w:pPr>
        <w:pStyle w:val="Heading1"/>
        <w:rPr>
          <w:color w:val="000000"/>
          <w:sz w:val="24"/>
          <w:szCs w:val="24"/>
        </w:rPr>
      </w:pPr>
      <w:r w:rsidDel="00000000" w:rsidR="00000000" w:rsidRPr="00000000">
        <w:rPr>
          <w:rtl w:val="0"/>
        </w:rPr>
      </w:r>
    </w:p>
    <w:p w:rsidR="00000000" w:rsidDel="00000000" w:rsidP="00000000" w:rsidRDefault="00000000" w:rsidRPr="00000000" w14:paraId="00000045">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3">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